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E8C1B" w14:textId="01742133" w:rsidR="009C6EB9" w:rsidRPr="00D02AA7" w:rsidRDefault="009C6EB9" w:rsidP="009C6EB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D02AA7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#90                                   </w:t>
      </w:r>
      <w:r w:rsidRPr="00D02AA7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7372EE" w:rsidRPr="007372EE">
        <w:rPr>
          <w:rFonts w:ascii="Times New Roman" w:eastAsia="SimSun" w:hAnsi="Times New Roman"/>
          <w:b/>
          <w:sz w:val="24"/>
          <w:lang w:val="en-US" w:eastAsia="zh-CN"/>
        </w:rPr>
        <w:t>R1-1714150</w:t>
      </w:r>
    </w:p>
    <w:p w14:paraId="5DF1DD5F" w14:textId="19A149F5" w:rsidR="009C6EB9" w:rsidRPr="00AA3833" w:rsidRDefault="00C80EB2" w:rsidP="009C6EB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Prague, </w:t>
      </w:r>
      <w:r w:rsidRPr="00C80EB2">
        <w:rPr>
          <w:rFonts w:ascii="Times New Roman" w:eastAsia="SimSun" w:hAnsi="Times New Roman"/>
          <w:b/>
          <w:sz w:val="24"/>
          <w:lang w:val="en-US" w:eastAsia="zh-CN"/>
        </w:rPr>
        <w:t>Czech Republic</w:t>
      </w:r>
      <w:r>
        <w:rPr>
          <w:rFonts w:ascii="Times New Roman" w:eastAsia="SimSun" w:hAnsi="Times New Roman"/>
          <w:b/>
          <w:sz w:val="24"/>
          <w:lang w:val="en-US" w:eastAsia="zh-CN"/>
        </w:rPr>
        <w:t>, 21st</w:t>
      </w:r>
      <w:r w:rsidR="009C6EB9" w:rsidRPr="00D02AA7">
        <w:rPr>
          <w:rFonts w:ascii="Times New Roman" w:eastAsia="SimSun" w:hAnsi="Times New Roman"/>
          <w:b/>
          <w:sz w:val="24"/>
          <w:lang w:val="en-US" w:eastAsia="zh-CN"/>
        </w:rPr>
        <w:t xml:space="preserve"> – 25th August 2017</w:t>
      </w:r>
    </w:p>
    <w:p w14:paraId="0AF63363" w14:textId="77777777" w:rsidR="00293390" w:rsidRPr="00564F9F" w:rsidRDefault="00293390" w:rsidP="0029339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0F495661" w:rsidR="00FA20F7" w:rsidRPr="00564F9F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564F9F">
        <w:rPr>
          <w:rFonts w:ascii="Times New Roman" w:hAnsi="Times New Roman"/>
          <w:b/>
          <w:bCs/>
          <w:sz w:val="24"/>
          <w:lang w:val="en-US"/>
        </w:rPr>
        <w:t>Agenda Item:</w:t>
      </w:r>
      <w:r w:rsidRPr="00564F9F">
        <w:rPr>
          <w:rFonts w:ascii="Times New Roman" w:hAnsi="Times New Roman"/>
          <w:b/>
          <w:bCs/>
          <w:sz w:val="24"/>
          <w:lang w:val="en-US"/>
        </w:rPr>
        <w:tab/>
      </w:r>
      <w:r w:rsidR="009C6EB9">
        <w:rPr>
          <w:rFonts w:ascii="Times New Roman" w:hAnsi="Times New Roman"/>
          <w:b/>
          <w:bCs/>
          <w:sz w:val="24"/>
          <w:lang w:val="en-US"/>
        </w:rPr>
        <w:t>6</w:t>
      </w:r>
      <w:r w:rsidR="00E246F8" w:rsidRPr="00564F9F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564F9F">
        <w:rPr>
          <w:rFonts w:ascii="Times New Roman" w:hAnsi="Times New Roman"/>
          <w:b/>
          <w:bCs/>
          <w:sz w:val="24"/>
          <w:lang w:val="en-US"/>
        </w:rPr>
        <w:t>1.</w:t>
      </w:r>
      <w:r w:rsidR="00503961" w:rsidRPr="00564F9F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564F9F">
        <w:rPr>
          <w:rFonts w:ascii="Times New Roman" w:hAnsi="Times New Roman"/>
          <w:b/>
          <w:bCs/>
          <w:sz w:val="24"/>
          <w:lang w:val="en-US"/>
        </w:rPr>
        <w:t>.</w:t>
      </w:r>
      <w:r w:rsidR="004E0F3D">
        <w:rPr>
          <w:rFonts w:ascii="Times New Roman" w:hAnsi="Times New Roman"/>
          <w:b/>
          <w:bCs/>
          <w:sz w:val="24"/>
          <w:lang w:val="en-US"/>
        </w:rPr>
        <w:t>1.4.2</w:t>
      </w:r>
    </w:p>
    <w:p w14:paraId="186753AF" w14:textId="5C16081D" w:rsidR="00FA20F7" w:rsidRPr="00564F9F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564F9F">
        <w:rPr>
          <w:b/>
          <w:bCs/>
          <w:sz w:val="24"/>
          <w:lang w:val="en-US"/>
        </w:rPr>
        <w:t>Source:</w:t>
      </w:r>
      <w:r w:rsidRPr="00564F9F">
        <w:rPr>
          <w:b/>
          <w:bCs/>
          <w:sz w:val="24"/>
          <w:lang w:val="en-US"/>
        </w:rPr>
        <w:tab/>
        <w:t>InterDigital</w:t>
      </w:r>
      <w:r w:rsidR="00E17A3B" w:rsidRPr="00564F9F">
        <w:rPr>
          <w:b/>
          <w:bCs/>
          <w:sz w:val="24"/>
          <w:lang w:val="en-US"/>
        </w:rPr>
        <w:t xml:space="preserve"> </w:t>
      </w:r>
      <w:r w:rsidR="00564F9F">
        <w:rPr>
          <w:b/>
          <w:bCs/>
          <w:sz w:val="24"/>
          <w:lang w:val="en-US"/>
        </w:rPr>
        <w:t>Inc.</w:t>
      </w:r>
    </w:p>
    <w:p w14:paraId="4F02292E" w14:textId="7F83410E" w:rsidR="00FA20F7" w:rsidRPr="00564F9F" w:rsidRDefault="00FA20F7" w:rsidP="00FA20F7">
      <w:pPr>
        <w:ind w:left="1985" w:hanging="1985"/>
        <w:rPr>
          <w:b/>
          <w:bCs/>
          <w:lang w:val="en-US"/>
        </w:rPr>
      </w:pPr>
      <w:r w:rsidRPr="00564F9F">
        <w:rPr>
          <w:b/>
          <w:bCs/>
          <w:sz w:val="24"/>
          <w:lang w:val="en-US"/>
        </w:rPr>
        <w:t>Title:</w:t>
      </w:r>
      <w:r w:rsidRPr="00564F9F">
        <w:rPr>
          <w:b/>
          <w:bCs/>
          <w:sz w:val="24"/>
          <w:lang w:val="en-US"/>
        </w:rPr>
        <w:tab/>
      </w:r>
      <w:r w:rsidR="0087229F" w:rsidRPr="00564F9F">
        <w:rPr>
          <w:b/>
          <w:bCs/>
          <w:sz w:val="24"/>
          <w:lang w:val="en-US"/>
        </w:rPr>
        <w:t>On</w:t>
      </w:r>
      <w:r w:rsidR="000D503F" w:rsidRPr="00564F9F">
        <w:rPr>
          <w:b/>
          <w:bCs/>
          <w:sz w:val="24"/>
          <w:lang w:val="en-US"/>
        </w:rPr>
        <w:t xml:space="preserve"> </w:t>
      </w:r>
      <w:r w:rsidR="002265E5">
        <w:rPr>
          <w:b/>
          <w:bCs/>
          <w:sz w:val="24"/>
          <w:lang w:val="en-US"/>
        </w:rPr>
        <w:t>group-common PDCCH contents</w:t>
      </w:r>
    </w:p>
    <w:p w14:paraId="20F2A3ED" w14:textId="45C3877F" w:rsidR="00FA20F7" w:rsidRPr="00564F9F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564F9F">
        <w:rPr>
          <w:b/>
          <w:bCs/>
          <w:sz w:val="24"/>
          <w:lang w:val="en-US"/>
        </w:rPr>
        <w:t>Document for:</w:t>
      </w:r>
      <w:r w:rsidRPr="00564F9F">
        <w:rPr>
          <w:b/>
          <w:bCs/>
          <w:sz w:val="24"/>
          <w:lang w:val="en-US"/>
        </w:rPr>
        <w:tab/>
        <w:t>Discussion</w:t>
      </w:r>
      <w:r w:rsidR="00CD15BB" w:rsidRPr="00564F9F">
        <w:rPr>
          <w:b/>
          <w:bCs/>
          <w:sz w:val="24"/>
          <w:lang w:val="en-US"/>
        </w:rPr>
        <w:t xml:space="preserve"> and Decision</w:t>
      </w:r>
    </w:p>
    <w:p w14:paraId="7931F0A5" w14:textId="77777777" w:rsidR="00A0293F" w:rsidRPr="00564F9F" w:rsidRDefault="00A0293F" w:rsidP="00FA20F7">
      <w:pPr>
        <w:ind w:left="1985" w:hanging="1985"/>
        <w:rPr>
          <w:b/>
          <w:bCs/>
          <w:sz w:val="24"/>
          <w:lang w:val="en-US"/>
        </w:rPr>
      </w:pPr>
    </w:p>
    <w:p w14:paraId="45A92109" w14:textId="77777777" w:rsidR="00261A3A" w:rsidRPr="00A33696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A33696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59CFF6C8" w:rsidR="004555E3" w:rsidRDefault="00BD65E3" w:rsidP="004555E3">
      <w:pPr>
        <w:rPr>
          <w:szCs w:val="22"/>
        </w:rPr>
      </w:pPr>
      <w:r w:rsidRPr="00BD65E3">
        <w:rPr>
          <w:szCs w:val="22"/>
        </w:rPr>
        <w:t xml:space="preserve">In RAN1 NR Ad-Hoc#2 Meeting [1], the following agreements </w:t>
      </w:r>
      <w:r>
        <w:rPr>
          <w:szCs w:val="22"/>
        </w:rPr>
        <w:t>related to the contents of the</w:t>
      </w:r>
      <w:r w:rsidRPr="00BD65E3">
        <w:rPr>
          <w:szCs w:val="22"/>
        </w:rPr>
        <w:t xml:space="preserve"> group-common PDCCH</w:t>
      </w:r>
      <w:r>
        <w:rPr>
          <w:szCs w:val="22"/>
        </w:rPr>
        <w:t xml:space="preserve"> were reached:</w:t>
      </w:r>
      <w:r w:rsidR="00453980" w:rsidRPr="00564F9F">
        <w:rPr>
          <w:szCs w:val="22"/>
        </w:rPr>
        <w:t xml:space="preserve"> </w:t>
      </w:r>
    </w:p>
    <w:p w14:paraId="3E05749B" w14:textId="77777777" w:rsidR="00BD65E3" w:rsidRDefault="00BD65E3" w:rsidP="00BD65E3">
      <w:pPr>
        <w:rPr>
          <w:rFonts w:eastAsia="MS Mincho"/>
          <w:b/>
          <w:u w:val="single"/>
          <w:lang w:eastAsia="ja-JP"/>
        </w:rPr>
      </w:pPr>
      <w:r w:rsidRPr="00C614BB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C614BB">
        <w:rPr>
          <w:rFonts w:eastAsia="MS Mincho" w:hint="eastAsia"/>
          <w:b/>
          <w:highlight w:val="green"/>
          <w:u w:val="single"/>
          <w:lang w:eastAsia="ja-JP"/>
        </w:rPr>
        <w:t>eements:</w:t>
      </w:r>
    </w:p>
    <w:p w14:paraId="725740D6" w14:textId="77777777" w:rsidR="00BD65E3" w:rsidRPr="00EA3BCA" w:rsidRDefault="00BD65E3" w:rsidP="00BD65E3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EA3BCA">
        <w:rPr>
          <w:rFonts w:eastAsia="MS Mincho"/>
          <w:lang w:eastAsia="ja-JP"/>
        </w:rPr>
        <w:t>In ‘Slot format related information’, ‘Empty’ is not indicated explicitly.</w:t>
      </w:r>
    </w:p>
    <w:p w14:paraId="185F4C7A" w14:textId="77777777" w:rsidR="00BD65E3" w:rsidRPr="00EA3BCA" w:rsidRDefault="00BD65E3" w:rsidP="00BD65E3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EA3BCA">
        <w:rPr>
          <w:rFonts w:eastAsia="MS Mincho"/>
          <w:lang w:eastAsia="ja-JP"/>
        </w:rPr>
        <w:t>Note: RAN1 specification ensures that UE(s) is/are aware of which resources can be for ‘gap for DL-UL switching’ and/or ‘gap’</w:t>
      </w:r>
    </w:p>
    <w:p w14:paraId="1B05AC2E" w14:textId="77777777" w:rsidR="00BD65E3" w:rsidRPr="00EA3BCA" w:rsidRDefault="00BD65E3" w:rsidP="00BD65E3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EA3BCA">
        <w:rPr>
          <w:rFonts w:eastAsia="MS Mincho"/>
          <w:lang w:eastAsia="ja-JP"/>
        </w:rPr>
        <w:t>Note: RAN1 specification ensures that UE(s) is/are aware of which resources are for ‘CSI/interference measurement’.</w:t>
      </w:r>
    </w:p>
    <w:p w14:paraId="3DE98E76" w14:textId="77777777" w:rsidR="00BD65E3" w:rsidRPr="00FC3853" w:rsidRDefault="00BD65E3" w:rsidP="00BD65E3">
      <w:pPr>
        <w:rPr>
          <w:rFonts w:eastAsia="MS Mincho"/>
          <w:b/>
          <w:u w:val="single"/>
          <w:lang w:eastAsia="ja-JP"/>
        </w:rPr>
      </w:pPr>
      <w:r w:rsidRPr="00C614BB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C614BB">
        <w:rPr>
          <w:rFonts w:eastAsia="MS Mincho" w:hint="eastAsia"/>
          <w:b/>
          <w:highlight w:val="green"/>
          <w:u w:val="single"/>
          <w:lang w:eastAsia="ja-JP"/>
        </w:rPr>
        <w:t>eements:</w:t>
      </w:r>
    </w:p>
    <w:p w14:paraId="440B1C3C" w14:textId="77777777" w:rsidR="00BD65E3" w:rsidRPr="00FC3853" w:rsidRDefault="00BD65E3" w:rsidP="00BD65E3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C3853">
        <w:rPr>
          <w:rFonts w:eastAsia="MS Mincho"/>
          <w:lang w:val="en-US" w:eastAsia="ja-JP"/>
        </w:rPr>
        <w:t>Prioritize discussion of SFI functionality of a group-common PDCCH.</w:t>
      </w:r>
    </w:p>
    <w:p w14:paraId="7946FBB1" w14:textId="77777777" w:rsidR="00BD65E3" w:rsidRPr="00FC3853" w:rsidRDefault="00BD65E3" w:rsidP="00BD65E3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C3853">
        <w:rPr>
          <w:rFonts w:eastAsia="MS Mincho"/>
          <w:lang w:val="en-US" w:eastAsia="ja-JP"/>
        </w:rPr>
        <w:t>Further work will be on group-common PDCCH carrying the SFI at least in August meeting.</w:t>
      </w:r>
    </w:p>
    <w:p w14:paraId="5A2652CB" w14:textId="446F302B" w:rsidR="00BD65E3" w:rsidRDefault="00BD65E3" w:rsidP="004555E3">
      <w:pPr>
        <w:rPr>
          <w:szCs w:val="22"/>
        </w:rPr>
      </w:pPr>
    </w:p>
    <w:p w14:paraId="7897C32D" w14:textId="54890A5E" w:rsidR="00BD65E3" w:rsidRPr="00564F9F" w:rsidRDefault="00BD65E3" w:rsidP="004555E3">
      <w:pPr>
        <w:rPr>
          <w:szCs w:val="22"/>
        </w:rPr>
      </w:pPr>
      <w:r>
        <w:rPr>
          <w:szCs w:val="22"/>
        </w:rPr>
        <w:t xml:space="preserve">Also in </w:t>
      </w:r>
      <w:r w:rsidRPr="00564F9F">
        <w:rPr>
          <w:szCs w:val="22"/>
        </w:rPr>
        <w:t xml:space="preserve">RAN1 #89 </w:t>
      </w:r>
      <w:r w:rsidR="000E7C20" w:rsidRPr="00564F9F">
        <w:rPr>
          <w:szCs w:val="22"/>
        </w:rPr>
        <w:t>Meetin</w:t>
      </w:r>
      <w:r w:rsidR="000E7C20">
        <w:rPr>
          <w:szCs w:val="22"/>
        </w:rPr>
        <w:t>g,</w:t>
      </w:r>
      <w:r w:rsidRPr="00564F9F">
        <w:rPr>
          <w:szCs w:val="22"/>
        </w:rPr>
        <w:t xml:space="preserve"> there were agreements about the group-common PDCCH</w:t>
      </w:r>
      <w:r w:rsidR="004C76F2">
        <w:rPr>
          <w:szCs w:val="22"/>
        </w:rPr>
        <w:t xml:space="preserve"> which could potentially impact the content of the group-common PDCCH:</w:t>
      </w:r>
    </w:p>
    <w:p w14:paraId="6B283FDA" w14:textId="77777777" w:rsidR="00650A88" w:rsidRPr="00564F9F" w:rsidRDefault="00650A88" w:rsidP="00650A88">
      <w:pPr>
        <w:rPr>
          <w:rFonts w:eastAsia="MS Mincho"/>
          <w:b/>
          <w:u w:val="single"/>
          <w:lang w:eastAsia="ja-JP"/>
        </w:rPr>
      </w:pPr>
      <w:r w:rsidRPr="00564F9F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22679DF" w14:textId="77777777" w:rsidR="00650A88" w:rsidRPr="00564F9F" w:rsidRDefault="00650A88" w:rsidP="00650A88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eastAsia="ja-JP"/>
        </w:rPr>
        <w:t>The SFI transmitted in a group-common PDCCH can indicate the slot format related information for one or more slots</w:t>
      </w:r>
    </w:p>
    <w:p w14:paraId="191E143D" w14:textId="77777777" w:rsidR="00650A88" w:rsidRPr="00564F9F" w:rsidRDefault="00650A88" w:rsidP="00650A88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eastAsia="ja-JP"/>
        </w:rPr>
        <w:t>The slot format related information informs the UEs of the number of slots and the slot format(s) related information of those slots</w:t>
      </w:r>
    </w:p>
    <w:p w14:paraId="31FB32CB" w14:textId="77777777" w:rsidR="00650A88" w:rsidRPr="00564F9F" w:rsidRDefault="00650A88" w:rsidP="00650A88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eastAsia="ja-JP"/>
        </w:rPr>
        <w:t>FFS: how to interpret the SFI when the UE is configured with multiple bandwidth parts</w:t>
      </w:r>
    </w:p>
    <w:p w14:paraId="0CD85CEE" w14:textId="77777777" w:rsidR="00650A88" w:rsidRPr="00564F9F" w:rsidRDefault="00650A88" w:rsidP="00650A88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eastAsia="ja-JP"/>
        </w:rPr>
        <w:t>FFS: details for UE behaviour</w:t>
      </w:r>
    </w:p>
    <w:p w14:paraId="6371DF5D" w14:textId="77777777" w:rsidR="00650A88" w:rsidRPr="00564F9F" w:rsidRDefault="00650A88" w:rsidP="00650A88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eastAsia="ja-JP"/>
        </w:rPr>
        <w:t>FFS: A UE may be configured to monitor for at most one group-common PDCCH carrying slot format related information (SFI) in a slot</w:t>
      </w:r>
    </w:p>
    <w:p w14:paraId="7FE03074" w14:textId="77777777" w:rsidR="00650A88" w:rsidRPr="00564F9F" w:rsidRDefault="00650A88" w:rsidP="00650A88">
      <w:pPr>
        <w:rPr>
          <w:rFonts w:eastAsia="MS Mincho"/>
          <w:color w:val="0070C0"/>
          <w:lang w:eastAsia="ja-JP"/>
        </w:rPr>
      </w:pPr>
      <w:r w:rsidRPr="00564F9F">
        <w:rPr>
          <w:rFonts w:eastAsia="MS Mincho"/>
          <w:b/>
          <w:highlight w:val="green"/>
          <w:u w:val="single"/>
          <w:lang w:val="en-US" w:eastAsia="ja-JP"/>
        </w:rPr>
        <w:t>Agreements:</w:t>
      </w:r>
    </w:p>
    <w:p w14:paraId="56AFDF28" w14:textId="77777777" w:rsidR="00650A88" w:rsidRPr="00564F9F" w:rsidRDefault="00650A88" w:rsidP="00650A88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val="en-US" w:eastAsia="ja-JP"/>
        </w:rPr>
        <w:t>In ‘Slot format related information’, ‘other’ is at least:</w:t>
      </w:r>
    </w:p>
    <w:p w14:paraId="3410D5AD" w14:textId="77777777" w:rsidR="00650A88" w:rsidRPr="00564F9F" w:rsidRDefault="00650A88" w:rsidP="00650A88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val="en-US" w:eastAsia="ja-JP"/>
        </w:rPr>
        <w:t>‘Unknown’</w:t>
      </w:r>
    </w:p>
    <w:p w14:paraId="04E22704" w14:textId="77777777" w:rsidR="00650A88" w:rsidRPr="00564F9F" w:rsidRDefault="00650A88" w:rsidP="00650A88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64F9F">
        <w:rPr>
          <w:rFonts w:eastAsia="MS Mincho"/>
          <w:lang w:val="en-US" w:eastAsia="ja-JP"/>
        </w:rPr>
        <w:t>UE shall not assume anything for the symbol with ‘Unknown’ by this information</w:t>
      </w:r>
    </w:p>
    <w:p w14:paraId="72FF7DC5" w14:textId="77777777" w:rsidR="00650A88" w:rsidRPr="0073401E" w:rsidRDefault="00650A88" w:rsidP="00650A88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color w:val="000000" w:themeColor="text1"/>
          <w:lang w:val="en-US" w:eastAsia="ja-JP"/>
        </w:rPr>
      </w:pPr>
      <w:r w:rsidRPr="00564F9F">
        <w:rPr>
          <w:rFonts w:eastAsia="MS Mincho"/>
          <w:lang w:val="en-US" w:eastAsia="ja-JP"/>
        </w:rPr>
        <w:t xml:space="preserve">FFS: UE behavior when the UE receives the information for the symbol from SFI and broadcast DCI and/or UE-specific DCI and/or semi-static </w:t>
      </w:r>
      <w:r w:rsidRPr="0073401E">
        <w:rPr>
          <w:rFonts w:eastAsia="MS Mincho"/>
          <w:color w:val="000000" w:themeColor="text1"/>
          <w:lang w:val="en-US" w:eastAsia="ja-JP"/>
        </w:rPr>
        <w:t>signaling/configuration</w:t>
      </w:r>
    </w:p>
    <w:p w14:paraId="4E88ED0B" w14:textId="77777777" w:rsidR="00650A88" w:rsidRPr="0073401E" w:rsidRDefault="00650A88" w:rsidP="00650A88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color w:val="000000" w:themeColor="text1"/>
          <w:lang w:val="en-US" w:eastAsia="ja-JP"/>
        </w:rPr>
      </w:pPr>
      <w:r w:rsidRPr="0073401E">
        <w:rPr>
          <w:rFonts w:eastAsia="MS Mincho"/>
          <w:color w:val="000000" w:themeColor="text1"/>
          <w:lang w:val="en-US" w:eastAsia="ja-JP"/>
        </w:rPr>
        <w:t>FFS: ‘Empty’</w:t>
      </w:r>
    </w:p>
    <w:p w14:paraId="75FAB036" w14:textId="77777777" w:rsidR="00650A88" w:rsidRPr="0073401E" w:rsidRDefault="00650A88" w:rsidP="00650A88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color w:val="000000" w:themeColor="text1"/>
          <w:lang w:val="en-US" w:eastAsia="ja-JP"/>
        </w:rPr>
      </w:pPr>
      <w:r w:rsidRPr="0073401E">
        <w:rPr>
          <w:rFonts w:eastAsia="MS Mincho"/>
          <w:color w:val="000000" w:themeColor="text1"/>
          <w:lang w:val="en-US" w:eastAsia="ja-JP"/>
        </w:rPr>
        <w:t>UEs can use this resource for interference measurement</w:t>
      </w:r>
    </w:p>
    <w:p w14:paraId="2D46F311" w14:textId="77777777" w:rsidR="00650A88" w:rsidRPr="0073401E" w:rsidRDefault="00650A88" w:rsidP="00650A88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color w:val="000000" w:themeColor="text1"/>
          <w:lang w:val="en-US" w:eastAsia="ja-JP"/>
        </w:rPr>
      </w:pPr>
      <w:r w:rsidRPr="0073401E">
        <w:rPr>
          <w:rFonts w:eastAsia="MS Mincho"/>
          <w:color w:val="000000" w:themeColor="text1"/>
          <w:lang w:val="en-US" w:eastAsia="ja-JP"/>
        </w:rPr>
        <w:t>UE may assume there is no transmission</w:t>
      </w:r>
    </w:p>
    <w:p w14:paraId="12579F8C" w14:textId="1EF0395B" w:rsidR="00FA007C" w:rsidRPr="00564F9F" w:rsidRDefault="005811CB" w:rsidP="004E1513">
      <w:pPr>
        <w:rPr>
          <w:sz w:val="20"/>
        </w:rPr>
      </w:pPr>
      <w:r w:rsidRPr="00564F9F">
        <w:rPr>
          <w:szCs w:val="22"/>
        </w:rPr>
        <w:t>In this document</w:t>
      </w:r>
      <w:r w:rsidR="004C76F2">
        <w:rPr>
          <w:szCs w:val="22"/>
        </w:rPr>
        <w:t>,</w:t>
      </w:r>
      <w:r w:rsidRPr="00564F9F">
        <w:rPr>
          <w:szCs w:val="22"/>
        </w:rPr>
        <w:t xml:space="preserve"> we </w:t>
      </w:r>
      <w:r w:rsidR="004C76F2">
        <w:rPr>
          <w:szCs w:val="22"/>
        </w:rPr>
        <w:t xml:space="preserve">discuss </w:t>
      </w:r>
      <w:r w:rsidR="002D3CF3">
        <w:rPr>
          <w:szCs w:val="22"/>
        </w:rPr>
        <w:t>our view</w:t>
      </w:r>
      <w:r w:rsidR="004C76F2">
        <w:rPr>
          <w:szCs w:val="22"/>
        </w:rPr>
        <w:t>s</w:t>
      </w:r>
      <w:r w:rsidR="002D3CF3">
        <w:rPr>
          <w:szCs w:val="22"/>
        </w:rPr>
        <w:t xml:space="preserve"> regarding</w:t>
      </w:r>
      <w:r w:rsidR="00E45AFC" w:rsidRPr="00564F9F">
        <w:rPr>
          <w:szCs w:val="22"/>
        </w:rPr>
        <w:t xml:space="preserve"> the </w:t>
      </w:r>
      <w:r w:rsidR="00D7307D" w:rsidRPr="00564F9F">
        <w:rPr>
          <w:szCs w:val="22"/>
        </w:rPr>
        <w:t>group-commo</w:t>
      </w:r>
      <w:r w:rsidR="00AC115F" w:rsidRPr="00564F9F">
        <w:rPr>
          <w:szCs w:val="22"/>
        </w:rPr>
        <w:t xml:space="preserve">n PDCCH </w:t>
      </w:r>
      <w:r w:rsidR="002D3CF3">
        <w:rPr>
          <w:szCs w:val="22"/>
        </w:rPr>
        <w:t>content</w:t>
      </w:r>
      <w:r w:rsidR="00E45AFC" w:rsidRPr="00564F9F">
        <w:rPr>
          <w:szCs w:val="22"/>
        </w:rPr>
        <w:t>.</w:t>
      </w:r>
    </w:p>
    <w:p w14:paraId="411E7BBD" w14:textId="709ED89B" w:rsidR="00085A01" w:rsidRPr="00564F9F" w:rsidRDefault="004C76F2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Discussion</w:t>
      </w:r>
    </w:p>
    <w:p w14:paraId="67E3B083" w14:textId="18F1E0A7" w:rsidR="00BB718A" w:rsidRDefault="00BB718A" w:rsidP="00900DCF">
      <w:pPr>
        <w:rPr>
          <w:szCs w:val="22"/>
        </w:rPr>
      </w:pPr>
      <w:r>
        <w:rPr>
          <w:szCs w:val="22"/>
        </w:rPr>
        <w:t xml:space="preserve">Based on the discussion in </w:t>
      </w:r>
      <w:r w:rsidRPr="00BB718A">
        <w:rPr>
          <w:szCs w:val="22"/>
        </w:rPr>
        <w:t xml:space="preserve">RAN1 NR Ad-Hoc#2 </w:t>
      </w:r>
      <w:r w:rsidR="00855E4B">
        <w:rPr>
          <w:szCs w:val="22"/>
        </w:rPr>
        <w:t>m</w:t>
      </w:r>
      <w:r w:rsidRPr="00BB718A">
        <w:rPr>
          <w:szCs w:val="22"/>
        </w:rPr>
        <w:t>eeting</w:t>
      </w:r>
      <w:r>
        <w:rPr>
          <w:szCs w:val="22"/>
        </w:rPr>
        <w:t xml:space="preserve">, it seems the majority view by the companies </w:t>
      </w:r>
      <w:r w:rsidR="003555A9">
        <w:rPr>
          <w:szCs w:val="22"/>
        </w:rPr>
        <w:t>was</w:t>
      </w:r>
      <w:r>
        <w:rPr>
          <w:szCs w:val="22"/>
        </w:rPr>
        <w:t xml:space="preserve"> to limit the group-common PDCCH to </w:t>
      </w:r>
      <w:r w:rsidR="003555A9">
        <w:rPr>
          <w:szCs w:val="22"/>
        </w:rPr>
        <w:t xml:space="preserve">exclusively </w:t>
      </w:r>
      <w:r>
        <w:rPr>
          <w:szCs w:val="22"/>
        </w:rPr>
        <w:t xml:space="preserve">carry </w:t>
      </w:r>
      <w:r w:rsidR="003555A9">
        <w:rPr>
          <w:szCs w:val="22"/>
        </w:rPr>
        <w:t xml:space="preserve">the </w:t>
      </w:r>
      <w:r>
        <w:rPr>
          <w:szCs w:val="22"/>
        </w:rPr>
        <w:t xml:space="preserve">SFI. Obviously, at the </w:t>
      </w:r>
      <w:r w:rsidR="000E7C20">
        <w:rPr>
          <w:szCs w:val="22"/>
        </w:rPr>
        <w:t>beginning</w:t>
      </w:r>
      <w:r>
        <w:rPr>
          <w:szCs w:val="22"/>
        </w:rPr>
        <w:t xml:space="preserve"> there were diverge views </w:t>
      </w:r>
      <w:r w:rsidR="003555A9">
        <w:rPr>
          <w:szCs w:val="22"/>
        </w:rPr>
        <w:t xml:space="preserve">among the companies </w:t>
      </w:r>
      <w:r>
        <w:rPr>
          <w:szCs w:val="22"/>
        </w:rPr>
        <w:t>on what can be transmitted on</w:t>
      </w:r>
      <w:r w:rsidR="003555A9">
        <w:rPr>
          <w:szCs w:val="22"/>
        </w:rPr>
        <w:t xml:space="preserve"> the</w:t>
      </w:r>
      <w:r>
        <w:rPr>
          <w:szCs w:val="22"/>
        </w:rPr>
        <w:t xml:space="preserve"> GC-PDCCH; however, we believe in order to make progress, we should agree on this principle</w:t>
      </w:r>
      <w:r w:rsidR="003555A9">
        <w:rPr>
          <w:szCs w:val="22"/>
        </w:rPr>
        <w:t xml:space="preserve"> that the</w:t>
      </w:r>
      <w:r w:rsidR="003555A9" w:rsidRPr="003555A9">
        <w:t xml:space="preserve"> </w:t>
      </w:r>
      <w:r w:rsidR="003555A9" w:rsidRPr="003555A9">
        <w:rPr>
          <w:szCs w:val="22"/>
        </w:rPr>
        <w:t xml:space="preserve">group-common PDCCH </w:t>
      </w:r>
      <w:r w:rsidR="003555A9">
        <w:rPr>
          <w:szCs w:val="22"/>
        </w:rPr>
        <w:t>only carries</w:t>
      </w:r>
      <w:r w:rsidR="003555A9" w:rsidRPr="003555A9">
        <w:rPr>
          <w:szCs w:val="22"/>
        </w:rPr>
        <w:t xml:space="preserve"> the SFI</w:t>
      </w:r>
      <w:r w:rsidR="003555A9">
        <w:rPr>
          <w:szCs w:val="22"/>
        </w:rPr>
        <w:t xml:space="preserve"> </w:t>
      </w:r>
      <w:r>
        <w:rPr>
          <w:szCs w:val="22"/>
        </w:rPr>
        <w:t xml:space="preserve">and then </w:t>
      </w:r>
      <w:r w:rsidR="00855E4B">
        <w:rPr>
          <w:szCs w:val="22"/>
        </w:rPr>
        <w:t xml:space="preserve">try to </w:t>
      </w:r>
      <w:r>
        <w:rPr>
          <w:szCs w:val="22"/>
        </w:rPr>
        <w:t xml:space="preserve">focus on the SFI content. </w:t>
      </w:r>
      <w:r w:rsidR="00554BC9">
        <w:rPr>
          <w:szCs w:val="22"/>
        </w:rPr>
        <w:t xml:space="preserve">As </w:t>
      </w:r>
      <w:r w:rsidR="007372EE">
        <w:rPr>
          <w:szCs w:val="22"/>
        </w:rPr>
        <w:t>the</w:t>
      </w:r>
      <w:r w:rsidR="00554BC9">
        <w:rPr>
          <w:szCs w:val="22"/>
        </w:rPr>
        <w:t xml:space="preserve"> </w:t>
      </w:r>
      <w:r w:rsidR="000E7C20">
        <w:rPr>
          <w:szCs w:val="22"/>
        </w:rPr>
        <w:t>by-product</w:t>
      </w:r>
      <w:r w:rsidR="00554BC9">
        <w:rPr>
          <w:szCs w:val="22"/>
        </w:rPr>
        <w:t xml:space="preserve"> of </w:t>
      </w:r>
      <w:r w:rsidR="0097201E">
        <w:rPr>
          <w:szCs w:val="22"/>
        </w:rPr>
        <w:t>dedicating</w:t>
      </w:r>
      <w:r w:rsidR="00554BC9">
        <w:rPr>
          <w:szCs w:val="22"/>
        </w:rPr>
        <w:t xml:space="preserve"> the GC-PDCCH </w:t>
      </w:r>
      <w:r w:rsidR="0097201E">
        <w:rPr>
          <w:szCs w:val="22"/>
        </w:rPr>
        <w:t>for</w:t>
      </w:r>
      <w:r w:rsidR="00554BC9">
        <w:rPr>
          <w:szCs w:val="22"/>
        </w:rPr>
        <w:t xml:space="preserve"> </w:t>
      </w:r>
      <w:r w:rsidR="0097201E">
        <w:rPr>
          <w:szCs w:val="22"/>
        </w:rPr>
        <w:t xml:space="preserve">the </w:t>
      </w:r>
      <w:r w:rsidR="00554BC9">
        <w:rPr>
          <w:szCs w:val="22"/>
        </w:rPr>
        <w:t>SFI</w:t>
      </w:r>
      <w:r w:rsidR="0097201E">
        <w:rPr>
          <w:szCs w:val="22"/>
        </w:rPr>
        <w:t xml:space="preserve"> transmission</w:t>
      </w:r>
      <w:r w:rsidR="00554BC9">
        <w:rPr>
          <w:szCs w:val="22"/>
        </w:rPr>
        <w:t>, the searc</w:t>
      </w:r>
      <w:r w:rsidR="007372EE">
        <w:rPr>
          <w:szCs w:val="22"/>
        </w:rPr>
        <w:t>h space design for GC-PDCCH can also</w:t>
      </w:r>
      <w:r w:rsidR="00554BC9">
        <w:rPr>
          <w:szCs w:val="22"/>
        </w:rPr>
        <w:t xml:space="preserve"> be greatly simplified </w:t>
      </w:r>
      <w:r w:rsidR="007372EE">
        <w:rPr>
          <w:szCs w:val="22"/>
        </w:rPr>
        <w:t>by</w:t>
      </w:r>
      <w:r w:rsidR="00554BC9">
        <w:rPr>
          <w:szCs w:val="22"/>
        </w:rPr>
        <w:t xml:space="preserve"> limit</w:t>
      </w:r>
      <w:r w:rsidR="007372EE">
        <w:rPr>
          <w:szCs w:val="22"/>
        </w:rPr>
        <w:t xml:space="preserve">ing it </w:t>
      </w:r>
      <w:r w:rsidR="00554BC9">
        <w:rPr>
          <w:szCs w:val="22"/>
        </w:rPr>
        <w:t xml:space="preserve">to one PDCCH candidate to avoid </w:t>
      </w:r>
      <w:r w:rsidR="00855E4B">
        <w:rPr>
          <w:szCs w:val="22"/>
        </w:rPr>
        <w:t>the overhead of</w:t>
      </w:r>
      <w:r w:rsidR="00554BC9">
        <w:rPr>
          <w:szCs w:val="22"/>
        </w:rPr>
        <w:t xml:space="preserve"> blind decoding. </w:t>
      </w:r>
      <w:r w:rsidR="00855E4B">
        <w:rPr>
          <w:szCs w:val="22"/>
        </w:rPr>
        <w:t xml:space="preserve">Any other common DL control information can be transmitted using the group-common DCI in PDCCH as shown in </w:t>
      </w:r>
      <w:r w:rsidR="00855E4B">
        <w:rPr>
          <w:szCs w:val="22"/>
        </w:rPr>
        <w:fldChar w:fldCharType="begin"/>
      </w:r>
      <w:r w:rsidR="00855E4B">
        <w:rPr>
          <w:szCs w:val="22"/>
        </w:rPr>
        <w:instrText xml:space="preserve"> REF _Ref490136566 \h </w:instrText>
      </w:r>
      <w:r w:rsidR="00855E4B">
        <w:rPr>
          <w:szCs w:val="22"/>
        </w:rPr>
      </w:r>
      <w:r w:rsidR="00855E4B">
        <w:rPr>
          <w:szCs w:val="22"/>
        </w:rPr>
        <w:fldChar w:fldCharType="separate"/>
      </w:r>
      <w:r w:rsidR="00855E4B" w:rsidRPr="00564F9F">
        <w:t xml:space="preserve">Table </w:t>
      </w:r>
      <w:r w:rsidR="00855E4B" w:rsidRPr="00564F9F">
        <w:rPr>
          <w:noProof/>
        </w:rPr>
        <w:t>1</w:t>
      </w:r>
      <w:r w:rsidR="00855E4B">
        <w:rPr>
          <w:szCs w:val="22"/>
        </w:rPr>
        <w:fldChar w:fldCharType="end"/>
      </w:r>
      <w:r w:rsidR="00855E4B">
        <w:rPr>
          <w:szCs w:val="22"/>
        </w:rPr>
        <w:t>. One example would be preemption indication which was agreed in RAN1 NR Ad-Hoc#2 m</w:t>
      </w:r>
      <w:r w:rsidR="00855E4B" w:rsidRPr="00855E4B">
        <w:rPr>
          <w:szCs w:val="22"/>
        </w:rPr>
        <w:t>eeting</w:t>
      </w:r>
      <w:r w:rsidR="00855E4B">
        <w:rPr>
          <w:szCs w:val="22"/>
        </w:rPr>
        <w:t xml:space="preserve"> to be carried on the group-common DCI in PDCCH</w:t>
      </w:r>
      <w:r w:rsidR="002966B0">
        <w:rPr>
          <w:szCs w:val="22"/>
        </w:rPr>
        <w:t>.</w:t>
      </w:r>
    </w:p>
    <w:p w14:paraId="6E77EE6F" w14:textId="02145D13" w:rsidR="006B078C" w:rsidRDefault="006B078C" w:rsidP="00900DCF">
      <w:pPr>
        <w:rPr>
          <w:szCs w:val="22"/>
        </w:rPr>
      </w:pPr>
      <w:r w:rsidRPr="00564F9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1</w:t>
      </w:r>
      <w:r w:rsidRPr="00564F9F">
        <w:rPr>
          <w:b/>
          <w:i/>
          <w:szCs w:val="22"/>
          <w:u w:val="single"/>
          <w:lang w:eastAsia="sv-SE"/>
        </w:rPr>
        <w:t>:</w:t>
      </w:r>
      <w:r w:rsidRPr="00564F9F">
        <w:rPr>
          <w:b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>T</w:t>
      </w:r>
      <w:r w:rsidRPr="003555A9">
        <w:rPr>
          <w:i/>
          <w:szCs w:val="22"/>
          <w:lang w:eastAsia="sv-SE"/>
        </w:rPr>
        <w:t xml:space="preserve">he group-common PDCCH </w:t>
      </w:r>
      <w:r>
        <w:rPr>
          <w:i/>
          <w:szCs w:val="22"/>
          <w:lang w:eastAsia="sv-SE"/>
        </w:rPr>
        <w:t>should be dedicated to</w:t>
      </w:r>
      <w:r w:rsidRPr="003555A9">
        <w:rPr>
          <w:i/>
          <w:szCs w:val="22"/>
          <w:lang w:eastAsia="sv-SE"/>
        </w:rPr>
        <w:t xml:space="preserve"> carr</w:t>
      </w:r>
      <w:r>
        <w:rPr>
          <w:i/>
          <w:szCs w:val="22"/>
          <w:lang w:eastAsia="sv-SE"/>
        </w:rPr>
        <w:t>y</w:t>
      </w:r>
      <w:r w:rsidRPr="003555A9">
        <w:rPr>
          <w:i/>
          <w:szCs w:val="22"/>
          <w:lang w:eastAsia="sv-SE"/>
        </w:rPr>
        <w:t xml:space="preserve"> the SFI</w:t>
      </w:r>
      <w:r>
        <w:rPr>
          <w:i/>
          <w:szCs w:val="22"/>
          <w:lang w:eastAsia="sv-SE"/>
        </w:rPr>
        <w:t>.</w:t>
      </w:r>
    </w:p>
    <w:p w14:paraId="1667A969" w14:textId="792B9DC6" w:rsidR="00855E4B" w:rsidRDefault="00855E4B" w:rsidP="00855E4B">
      <w:pPr>
        <w:pStyle w:val="Caption"/>
        <w:spacing w:before="240"/>
      </w:pPr>
      <w:bookmarkStart w:id="1" w:name="_Ref490136566"/>
      <w:r w:rsidRPr="00564F9F">
        <w:t xml:space="preserve">Table </w:t>
      </w:r>
      <w:r w:rsidRPr="00564F9F">
        <w:fldChar w:fldCharType="begin"/>
      </w:r>
      <w:r w:rsidRPr="00564F9F">
        <w:instrText xml:space="preserve"> SEQ Table \* ARABIC </w:instrText>
      </w:r>
      <w:r w:rsidRPr="00564F9F">
        <w:fldChar w:fldCharType="separate"/>
      </w:r>
      <w:r w:rsidRPr="00564F9F">
        <w:rPr>
          <w:noProof/>
        </w:rPr>
        <w:t>1</w:t>
      </w:r>
      <w:r w:rsidRPr="00564F9F">
        <w:rPr>
          <w:noProof/>
        </w:rPr>
        <w:fldChar w:fldCharType="end"/>
      </w:r>
      <w:bookmarkEnd w:id="1"/>
      <w:r w:rsidRPr="00564F9F">
        <w:t xml:space="preserve">. Example of contents for </w:t>
      </w:r>
      <w:r>
        <w:t>GC-PDCCH and PDCCH</w:t>
      </w:r>
    </w:p>
    <w:p w14:paraId="21DAE94D" w14:textId="77777777" w:rsidR="00855E4B" w:rsidRPr="00564F9F" w:rsidRDefault="00855E4B" w:rsidP="00855E4B">
      <w:pPr>
        <w:pStyle w:val="ListParagraph"/>
        <w:rPr>
          <w:rFonts w:ascii="Times New Roman" w:hAnsi="Times New Roman"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485"/>
        <w:gridCol w:w="5424"/>
      </w:tblGrid>
      <w:tr w:rsidR="00855E4B" w:rsidRPr="00564F9F" w14:paraId="36E312AC" w14:textId="77777777" w:rsidTr="00015C3C">
        <w:tc>
          <w:tcPr>
            <w:tcW w:w="3595" w:type="dxa"/>
          </w:tcPr>
          <w:p w14:paraId="663505BD" w14:textId="77777777" w:rsidR="00855E4B" w:rsidRPr="00564F9F" w:rsidRDefault="00855E4B" w:rsidP="00015C3C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Carried by Group-Common PDCCH</w:t>
            </w:r>
          </w:p>
        </w:tc>
        <w:tc>
          <w:tcPr>
            <w:tcW w:w="5568" w:type="dxa"/>
          </w:tcPr>
          <w:p w14:paraId="1B2A0A8A" w14:textId="6945D1BD" w:rsidR="00855E4B" w:rsidRPr="00564F9F" w:rsidRDefault="00855E4B" w:rsidP="00015C3C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Carried by Group-Common</w:t>
            </w:r>
            <w:r w:rsidRPr="00564F9F">
              <w:rPr>
                <w:rFonts w:ascii="Times New Roman" w:hAnsi="Times New Roman"/>
                <w:bCs/>
              </w:rPr>
              <w:t xml:space="preserve"> DCI</w:t>
            </w:r>
            <w:r>
              <w:rPr>
                <w:rFonts w:ascii="Times New Roman" w:hAnsi="Times New Roman"/>
                <w:bCs/>
              </w:rPr>
              <w:t xml:space="preserve"> in PDCCH</w:t>
            </w:r>
          </w:p>
        </w:tc>
      </w:tr>
      <w:tr w:rsidR="00855E4B" w:rsidRPr="00564F9F" w14:paraId="664F87BC" w14:textId="77777777" w:rsidTr="00015C3C">
        <w:trPr>
          <w:trHeight w:val="3239"/>
        </w:trPr>
        <w:tc>
          <w:tcPr>
            <w:tcW w:w="3595" w:type="dxa"/>
          </w:tcPr>
          <w:p w14:paraId="40500F59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SFI</w:t>
            </w:r>
          </w:p>
          <w:p w14:paraId="5A69B261" w14:textId="77777777" w:rsidR="00855E4B" w:rsidRPr="00564F9F" w:rsidRDefault="00855E4B" w:rsidP="00015C3C">
            <w:pPr>
              <w:pStyle w:val="ListParagraph"/>
              <w:contextualSpacing/>
              <w:rPr>
                <w:rFonts w:ascii="Times New Roman" w:hAnsi="Times New Roman"/>
                <w:bCs/>
              </w:rPr>
            </w:pPr>
          </w:p>
          <w:p w14:paraId="23ED2668" w14:textId="77777777" w:rsidR="00855E4B" w:rsidRPr="00564F9F" w:rsidRDefault="00855E4B" w:rsidP="00015C3C">
            <w:pPr>
              <w:pStyle w:val="ListParagraph"/>
              <w:rPr>
                <w:rFonts w:ascii="Times New Roman" w:hAnsi="Times New Roman"/>
                <w:bCs/>
              </w:rPr>
            </w:pPr>
          </w:p>
        </w:tc>
        <w:tc>
          <w:tcPr>
            <w:tcW w:w="5568" w:type="dxa"/>
          </w:tcPr>
          <w:p w14:paraId="5BE71E39" w14:textId="77777777" w:rsidR="00855E4B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Paging</w:t>
            </w:r>
          </w:p>
          <w:p w14:paraId="4C7F649F" w14:textId="77777777" w:rsidR="00855E4B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System Information</w:t>
            </w:r>
          </w:p>
          <w:p w14:paraId="4E440186" w14:textId="77777777" w:rsidR="00855E4B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Transmit Power Control (TPC) commands</w:t>
            </w:r>
          </w:p>
          <w:p w14:paraId="21FB62C0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Group ID: information related to the beam over which a group of UEs are scheduled to receive information</w:t>
            </w:r>
          </w:p>
          <w:p w14:paraId="440816E6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The starting position of PDSCH in the slot</w:t>
            </w:r>
          </w:p>
          <w:p w14:paraId="05634369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The end position of DL Control resource set in the slot</w:t>
            </w:r>
          </w:p>
          <w:p w14:paraId="4C1DBC0E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UL Scheduling Request resource configuration</w:t>
            </w:r>
          </w:p>
          <w:p w14:paraId="2BC445AC" w14:textId="77777777" w:rsidR="00855E4B" w:rsidRPr="00564F9F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</w:rPr>
            </w:pPr>
            <w:r w:rsidRPr="00564F9F">
              <w:rPr>
                <w:rFonts w:ascii="Times New Roman" w:hAnsi="Times New Roman"/>
                <w:bCs/>
              </w:rPr>
              <w:t>Information about restricting UE-specific search space and doing blind decoding over only a subset of the UE-specific search space</w:t>
            </w:r>
          </w:p>
          <w:p w14:paraId="23B19022" w14:textId="77777777" w:rsidR="00855E4B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RBG size</w:t>
            </w:r>
          </w:p>
          <w:p w14:paraId="6DF3281D" w14:textId="77777777" w:rsidR="00855E4B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564F9F">
              <w:rPr>
                <w:rFonts w:ascii="Times New Roman" w:hAnsi="Times New Roman"/>
                <w:bCs/>
              </w:rPr>
              <w:t>DL preemption indication for the previous slot</w:t>
            </w:r>
          </w:p>
          <w:p w14:paraId="2456D07B" w14:textId="77777777" w:rsidR="00855E4B" w:rsidRPr="00BB718A" w:rsidRDefault="00855E4B" w:rsidP="00015C3C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ascii="Times New Roman" w:hAnsi="Times New Roman"/>
                <w:bCs/>
              </w:rPr>
            </w:pPr>
            <w:r w:rsidRPr="00BB718A">
              <w:rPr>
                <w:rFonts w:ascii="Times New Roman" w:hAnsi="Times New Roman"/>
                <w:bCs/>
              </w:rPr>
              <w:t>DL Acknowledgment related to the UL data transmissions</w:t>
            </w:r>
          </w:p>
          <w:p w14:paraId="3188C08C" w14:textId="77777777" w:rsidR="00855E4B" w:rsidRPr="00564F9F" w:rsidRDefault="00855E4B" w:rsidP="00015C3C">
            <w:pPr>
              <w:pStyle w:val="ListParagraph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14:paraId="7F6C7FA7" w14:textId="77777777" w:rsidR="00855E4B" w:rsidRDefault="00855E4B" w:rsidP="00900DCF">
      <w:pPr>
        <w:rPr>
          <w:szCs w:val="22"/>
        </w:rPr>
      </w:pPr>
    </w:p>
    <w:p w14:paraId="1BC7D891" w14:textId="00569507" w:rsidR="00855E4B" w:rsidRDefault="00855E4B" w:rsidP="00855E4B">
      <w:pPr>
        <w:rPr>
          <w:szCs w:val="22"/>
        </w:rPr>
      </w:pPr>
      <w:r>
        <w:rPr>
          <w:szCs w:val="22"/>
        </w:rPr>
        <w:t>With respect to the SFI content,</w:t>
      </w:r>
      <w:r w:rsidRPr="00554BC9">
        <w:t xml:space="preserve"> </w:t>
      </w:r>
      <w:r>
        <w:t xml:space="preserve">in our view it is important to keep </w:t>
      </w:r>
      <w:r w:rsidRPr="00554BC9">
        <w:rPr>
          <w:szCs w:val="22"/>
        </w:rPr>
        <w:t xml:space="preserve">the size of SFI </w:t>
      </w:r>
      <w:r>
        <w:rPr>
          <w:szCs w:val="22"/>
        </w:rPr>
        <w:t xml:space="preserve">payload relatively </w:t>
      </w:r>
      <w:r w:rsidRPr="00554BC9">
        <w:rPr>
          <w:szCs w:val="22"/>
        </w:rPr>
        <w:t xml:space="preserve">small to ensure reliability. </w:t>
      </w:r>
      <w:r>
        <w:rPr>
          <w:szCs w:val="22"/>
        </w:rPr>
        <w:t xml:space="preserve">Per </w:t>
      </w:r>
      <w:r w:rsidR="000E7C20">
        <w:rPr>
          <w:szCs w:val="22"/>
        </w:rPr>
        <w:t>latest</w:t>
      </w:r>
      <w:r>
        <w:rPr>
          <w:szCs w:val="22"/>
        </w:rPr>
        <w:t xml:space="preserve"> agreements, </w:t>
      </w:r>
      <w:r w:rsidR="000E7C20">
        <w:rPr>
          <w:szCs w:val="22"/>
        </w:rPr>
        <w:t>‘</w:t>
      </w:r>
      <w:r w:rsidR="000E7C20" w:rsidRPr="000E7C20">
        <w:rPr>
          <w:szCs w:val="22"/>
        </w:rPr>
        <w:t>Empty’ is not indicated explicitly</w:t>
      </w:r>
      <w:r w:rsidR="000E7C20">
        <w:rPr>
          <w:szCs w:val="22"/>
        </w:rPr>
        <w:t xml:space="preserve"> so the SFI will only </w:t>
      </w:r>
      <w:r>
        <w:rPr>
          <w:szCs w:val="22"/>
        </w:rPr>
        <w:t xml:space="preserve">indicate </w:t>
      </w:r>
      <w:r w:rsidR="000E7C20">
        <w:rPr>
          <w:szCs w:val="22"/>
        </w:rPr>
        <w:t xml:space="preserve">the information regarding </w:t>
      </w:r>
      <w:r w:rsidR="001E76C8">
        <w:rPr>
          <w:szCs w:val="22"/>
        </w:rPr>
        <w:t>‘</w:t>
      </w:r>
      <w:r>
        <w:rPr>
          <w:szCs w:val="22"/>
        </w:rPr>
        <w:t>DL</w:t>
      </w:r>
      <w:r w:rsidR="001E76C8">
        <w:rPr>
          <w:szCs w:val="22"/>
        </w:rPr>
        <w:t>’</w:t>
      </w:r>
      <w:r>
        <w:rPr>
          <w:szCs w:val="22"/>
        </w:rPr>
        <w:t xml:space="preserve">, </w:t>
      </w:r>
      <w:r w:rsidR="001E76C8">
        <w:rPr>
          <w:szCs w:val="22"/>
        </w:rPr>
        <w:t>‘</w:t>
      </w:r>
      <w:r>
        <w:rPr>
          <w:szCs w:val="22"/>
        </w:rPr>
        <w:t>UL</w:t>
      </w:r>
      <w:r w:rsidR="001E76C8">
        <w:rPr>
          <w:szCs w:val="22"/>
        </w:rPr>
        <w:t>’</w:t>
      </w:r>
      <w:r>
        <w:rPr>
          <w:szCs w:val="22"/>
        </w:rPr>
        <w:t xml:space="preserve"> and </w:t>
      </w:r>
      <w:r w:rsidR="001E76C8">
        <w:rPr>
          <w:szCs w:val="22"/>
        </w:rPr>
        <w:t>‘U</w:t>
      </w:r>
      <w:r>
        <w:rPr>
          <w:szCs w:val="22"/>
        </w:rPr>
        <w:t>nknown</w:t>
      </w:r>
      <w:r w:rsidR="001E76C8">
        <w:rPr>
          <w:szCs w:val="22"/>
        </w:rPr>
        <w:t>’</w:t>
      </w:r>
      <w:r>
        <w:rPr>
          <w:szCs w:val="22"/>
        </w:rPr>
        <w:t xml:space="preserve"> </w:t>
      </w:r>
      <w:r w:rsidR="000E7C20">
        <w:rPr>
          <w:rFonts w:eastAsia="MS Mincho"/>
          <w:lang w:eastAsia="ja-JP"/>
        </w:rPr>
        <w:t>symbols</w:t>
      </w:r>
      <w:r w:rsidRPr="00564F9F">
        <w:rPr>
          <w:rFonts w:eastAsia="MS Mincho"/>
          <w:lang w:eastAsia="ja-JP"/>
        </w:rPr>
        <w:t xml:space="preserve"> for one or more slots</w:t>
      </w:r>
      <w:r>
        <w:rPr>
          <w:szCs w:val="22"/>
        </w:rPr>
        <w:t xml:space="preserve">. </w:t>
      </w:r>
      <w:r w:rsidR="000E7C20">
        <w:rPr>
          <w:szCs w:val="22"/>
        </w:rPr>
        <w:t>Moreover, there is a common understanding that i</w:t>
      </w:r>
      <w:r>
        <w:rPr>
          <w:szCs w:val="22"/>
        </w:rPr>
        <w:t xml:space="preserve">t would also be beneficial to consider </w:t>
      </w:r>
      <w:r w:rsidRPr="0097201E">
        <w:rPr>
          <w:szCs w:val="22"/>
        </w:rPr>
        <w:t>some reserved bits for future releases</w:t>
      </w:r>
      <w:r>
        <w:rPr>
          <w:szCs w:val="22"/>
        </w:rPr>
        <w:t>.</w:t>
      </w:r>
      <w:r w:rsidR="0012481E">
        <w:rPr>
          <w:szCs w:val="22"/>
        </w:rPr>
        <w:t xml:space="preserve"> Accordingly, as the next step, we may start working on </w:t>
      </w:r>
      <w:r w:rsidR="0012481E" w:rsidRPr="0012481E">
        <w:rPr>
          <w:szCs w:val="22"/>
        </w:rPr>
        <w:t>a table of entries to indicate different combinations of symbol designations</w:t>
      </w:r>
      <w:r w:rsidR="0012481E">
        <w:rPr>
          <w:szCs w:val="22"/>
        </w:rPr>
        <w:t xml:space="preserve">. As for the </w:t>
      </w:r>
      <w:r w:rsidR="0012481E" w:rsidRPr="0012481E">
        <w:rPr>
          <w:szCs w:val="22"/>
        </w:rPr>
        <w:t>multiple slot indication</w:t>
      </w:r>
      <w:r w:rsidR="0012481E">
        <w:rPr>
          <w:szCs w:val="22"/>
        </w:rPr>
        <w:t xml:space="preserve">, the current agreement doesn’t specify whether the SFI for multiple slots could be different </w:t>
      </w:r>
      <w:r w:rsidR="002966B0">
        <w:rPr>
          <w:szCs w:val="22"/>
        </w:rPr>
        <w:t>when they are included in the same payload</w:t>
      </w:r>
      <w:r w:rsidR="0012481E">
        <w:rPr>
          <w:szCs w:val="22"/>
        </w:rPr>
        <w:t>. We believe in order to limit the SFI content, the</w:t>
      </w:r>
      <w:r w:rsidR="002966B0">
        <w:rPr>
          <w:szCs w:val="22"/>
        </w:rPr>
        <w:t xml:space="preserve"> multiple slot indication should be used when multiple slots are using the same format. There is no need to include an aggregate of SFI values for multiple slots in one </w:t>
      </w:r>
      <w:r w:rsidR="007F091B">
        <w:rPr>
          <w:szCs w:val="22"/>
        </w:rPr>
        <w:t>GC-PDCCH</w:t>
      </w:r>
      <w:r w:rsidR="002966B0">
        <w:rPr>
          <w:szCs w:val="22"/>
        </w:rPr>
        <w:t>. This can be easily addressed by including the information related to the starting slot and duration over w</w:t>
      </w:r>
      <w:r w:rsidR="007372EE">
        <w:rPr>
          <w:szCs w:val="22"/>
        </w:rPr>
        <w:t>hich the SFI is valid. This wa</w:t>
      </w:r>
      <w:r w:rsidR="002966B0">
        <w:rPr>
          <w:szCs w:val="22"/>
        </w:rPr>
        <w:t>y the UE may even avoid SFI detection in certain slots during which it doesn’t expect any change.</w:t>
      </w:r>
    </w:p>
    <w:p w14:paraId="3133F382" w14:textId="57EE6C18" w:rsidR="000E7C20" w:rsidRDefault="000E7C20" w:rsidP="000E7C20">
      <w:pPr>
        <w:spacing w:before="240"/>
        <w:rPr>
          <w:i/>
          <w:szCs w:val="22"/>
          <w:lang w:eastAsia="sv-SE"/>
        </w:rPr>
      </w:pPr>
      <w:r w:rsidRPr="000E7C20">
        <w:rPr>
          <w:b/>
          <w:i/>
          <w:szCs w:val="22"/>
          <w:u w:val="single"/>
          <w:lang w:eastAsia="sv-SE"/>
        </w:rPr>
        <w:t xml:space="preserve">Proposal </w:t>
      </w:r>
      <w:r w:rsidR="0012481E">
        <w:rPr>
          <w:b/>
          <w:i/>
          <w:szCs w:val="22"/>
          <w:u w:val="single"/>
          <w:lang w:eastAsia="sv-SE"/>
        </w:rPr>
        <w:t>2</w:t>
      </w:r>
      <w:r w:rsidRPr="000E7C20">
        <w:rPr>
          <w:b/>
          <w:i/>
          <w:szCs w:val="22"/>
          <w:u w:val="single"/>
          <w:lang w:eastAsia="sv-SE"/>
        </w:rPr>
        <w:t>:</w:t>
      </w:r>
      <w:r w:rsidRPr="000E7C20">
        <w:rPr>
          <w:b/>
          <w:i/>
          <w:szCs w:val="22"/>
          <w:lang w:eastAsia="sv-SE"/>
        </w:rPr>
        <w:t xml:space="preserve"> </w:t>
      </w:r>
      <w:r w:rsidRPr="000E7C20">
        <w:rPr>
          <w:i/>
          <w:szCs w:val="22"/>
          <w:lang w:eastAsia="sv-SE"/>
        </w:rPr>
        <w:t xml:space="preserve">The SFI content should be limited to symbol information </w:t>
      </w:r>
      <w:r w:rsidRPr="000E7C20">
        <w:rPr>
          <w:rFonts w:eastAsia="MS Mincho"/>
          <w:i/>
          <w:lang w:eastAsia="ja-JP"/>
        </w:rPr>
        <w:t>for one or more slots and some reserved bits</w:t>
      </w:r>
      <w:r w:rsidRPr="000E7C20">
        <w:rPr>
          <w:i/>
          <w:szCs w:val="22"/>
          <w:lang w:eastAsia="sv-SE"/>
        </w:rPr>
        <w:t xml:space="preserve"> for future compatibility.</w:t>
      </w:r>
    </w:p>
    <w:p w14:paraId="70B5BB25" w14:textId="493CC322" w:rsidR="002966B0" w:rsidRPr="000E7C20" w:rsidRDefault="002966B0" w:rsidP="000E7C20">
      <w:pPr>
        <w:spacing w:before="240"/>
        <w:rPr>
          <w:i/>
          <w:szCs w:val="22"/>
          <w:lang w:eastAsia="sv-SE"/>
        </w:rPr>
      </w:pPr>
      <w:r w:rsidRPr="000E7C20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0E7C20">
        <w:rPr>
          <w:b/>
          <w:i/>
          <w:szCs w:val="22"/>
          <w:u w:val="single"/>
          <w:lang w:eastAsia="sv-SE"/>
        </w:rPr>
        <w:t>:</w:t>
      </w:r>
      <w:r w:rsidRPr="000E7C20">
        <w:rPr>
          <w:b/>
          <w:i/>
          <w:szCs w:val="22"/>
          <w:lang w:eastAsia="sv-SE"/>
        </w:rPr>
        <w:t xml:space="preserve"> </w:t>
      </w:r>
      <w:r w:rsidRPr="002966B0">
        <w:rPr>
          <w:i/>
          <w:szCs w:val="22"/>
          <w:lang w:eastAsia="sv-SE"/>
        </w:rPr>
        <w:t xml:space="preserve">The slot format related information </w:t>
      </w:r>
      <w:r>
        <w:rPr>
          <w:i/>
          <w:szCs w:val="22"/>
          <w:lang w:eastAsia="sv-SE"/>
        </w:rPr>
        <w:t xml:space="preserve">in the SFI </w:t>
      </w:r>
      <w:r w:rsidRPr="002966B0">
        <w:rPr>
          <w:i/>
          <w:szCs w:val="22"/>
          <w:lang w:eastAsia="sv-SE"/>
        </w:rPr>
        <w:t>informs the UEs of the number of slots</w:t>
      </w:r>
      <w:r>
        <w:rPr>
          <w:i/>
          <w:szCs w:val="22"/>
          <w:lang w:eastAsia="sv-SE"/>
        </w:rPr>
        <w:t xml:space="preserve"> over which the slot format</w:t>
      </w:r>
      <w:r w:rsidRPr="002966B0">
        <w:rPr>
          <w:i/>
          <w:szCs w:val="22"/>
          <w:lang w:eastAsia="sv-SE"/>
        </w:rPr>
        <w:t xml:space="preserve"> related information</w:t>
      </w:r>
      <w:r>
        <w:rPr>
          <w:i/>
          <w:szCs w:val="22"/>
          <w:lang w:eastAsia="sv-SE"/>
        </w:rPr>
        <w:t xml:space="preserve"> is </w:t>
      </w:r>
      <w:r w:rsidR="007372EE">
        <w:rPr>
          <w:i/>
          <w:szCs w:val="22"/>
          <w:lang w:eastAsia="sv-SE"/>
        </w:rPr>
        <w:t>valid.</w:t>
      </w:r>
    </w:p>
    <w:p w14:paraId="4DAD758A" w14:textId="77777777" w:rsidR="00BB718A" w:rsidRDefault="00BB718A" w:rsidP="00900DCF">
      <w:pPr>
        <w:rPr>
          <w:szCs w:val="22"/>
        </w:rPr>
      </w:pPr>
    </w:p>
    <w:p w14:paraId="596E93DF" w14:textId="049D4511" w:rsidR="00821C42" w:rsidRPr="00EF015F" w:rsidRDefault="00EF015F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EF015F">
        <w:rPr>
          <w:rFonts w:ascii="Times New Roman" w:hAnsi="Times New Roman"/>
          <w:b/>
          <w:sz w:val="32"/>
          <w:lang w:val="en-US"/>
        </w:rPr>
        <w:t>Conclusion</w:t>
      </w:r>
    </w:p>
    <w:p w14:paraId="695697E4" w14:textId="5ED3998B" w:rsidR="009F4088" w:rsidRPr="00564F9F" w:rsidRDefault="003242DD" w:rsidP="009F4088">
      <w:pPr>
        <w:rPr>
          <w:szCs w:val="22"/>
        </w:rPr>
      </w:pPr>
      <w:r w:rsidRPr="00564F9F">
        <w:rPr>
          <w:szCs w:val="22"/>
        </w:rPr>
        <w:t>This contribution discussed</w:t>
      </w:r>
      <w:r w:rsidR="00220819" w:rsidRPr="00564F9F">
        <w:rPr>
          <w:szCs w:val="22"/>
        </w:rPr>
        <w:t xml:space="preserve"> </w:t>
      </w:r>
      <w:r w:rsidR="004116D4" w:rsidRPr="00564F9F">
        <w:rPr>
          <w:szCs w:val="22"/>
        </w:rPr>
        <w:t>different issues related to the group-common PDCCH, including content, possible types, structure and the UE behaviour</w:t>
      </w:r>
      <w:r w:rsidR="00D267AA" w:rsidRPr="00564F9F">
        <w:rPr>
          <w:szCs w:val="22"/>
        </w:rPr>
        <w:t xml:space="preserve">. We </w:t>
      </w:r>
      <w:r w:rsidR="00991F30">
        <w:rPr>
          <w:szCs w:val="22"/>
        </w:rPr>
        <w:t>made</w:t>
      </w:r>
      <w:r w:rsidR="00D267AA" w:rsidRPr="00564F9F">
        <w:rPr>
          <w:szCs w:val="22"/>
        </w:rPr>
        <w:t xml:space="preserve"> </w:t>
      </w:r>
      <w:r w:rsidR="004116D4" w:rsidRPr="00564F9F">
        <w:rPr>
          <w:szCs w:val="22"/>
        </w:rPr>
        <w:t>the following proposals</w:t>
      </w:r>
      <w:r w:rsidR="009F4088" w:rsidRPr="00564F9F">
        <w:rPr>
          <w:szCs w:val="22"/>
        </w:rPr>
        <w:t>.</w:t>
      </w:r>
    </w:p>
    <w:p w14:paraId="53A2C1DB" w14:textId="20D39E28" w:rsidR="000E7C20" w:rsidRDefault="000E7C20" w:rsidP="000E7C20">
      <w:pPr>
        <w:spacing w:before="240"/>
        <w:rPr>
          <w:i/>
          <w:szCs w:val="22"/>
          <w:lang w:eastAsia="sv-SE"/>
        </w:rPr>
      </w:pPr>
      <w:r w:rsidRPr="00564F9F">
        <w:rPr>
          <w:b/>
          <w:i/>
          <w:szCs w:val="22"/>
          <w:u w:val="single"/>
          <w:lang w:eastAsia="sv-SE"/>
        </w:rPr>
        <w:t xml:space="preserve">Proposal </w:t>
      </w:r>
      <w:r w:rsidR="002966B0">
        <w:rPr>
          <w:b/>
          <w:i/>
          <w:szCs w:val="22"/>
          <w:u w:val="single"/>
          <w:lang w:eastAsia="sv-SE"/>
        </w:rPr>
        <w:t>1</w:t>
      </w:r>
      <w:r w:rsidRPr="00564F9F">
        <w:rPr>
          <w:b/>
          <w:i/>
          <w:szCs w:val="22"/>
          <w:u w:val="single"/>
          <w:lang w:eastAsia="sv-SE"/>
        </w:rPr>
        <w:t>:</w:t>
      </w:r>
      <w:r w:rsidRPr="00564F9F">
        <w:rPr>
          <w:b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>T</w:t>
      </w:r>
      <w:r w:rsidRPr="003555A9">
        <w:rPr>
          <w:i/>
          <w:szCs w:val="22"/>
          <w:lang w:eastAsia="sv-SE"/>
        </w:rPr>
        <w:t xml:space="preserve">he group-common PDCCH </w:t>
      </w:r>
      <w:r>
        <w:rPr>
          <w:i/>
          <w:szCs w:val="22"/>
          <w:lang w:eastAsia="sv-SE"/>
        </w:rPr>
        <w:t>should be dedicated to</w:t>
      </w:r>
      <w:r w:rsidRPr="003555A9">
        <w:rPr>
          <w:i/>
          <w:szCs w:val="22"/>
          <w:lang w:eastAsia="sv-SE"/>
        </w:rPr>
        <w:t xml:space="preserve"> carr</w:t>
      </w:r>
      <w:r>
        <w:rPr>
          <w:i/>
          <w:szCs w:val="22"/>
          <w:lang w:eastAsia="sv-SE"/>
        </w:rPr>
        <w:t>y</w:t>
      </w:r>
      <w:r w:rsidRPr="003555A9">
        <w:rPr>
          <w:i/>
          <w:szCs w:val="22"/>
          <w:lang w:eastAsia="sv-SE"/>
        </w:rPr>
        <w:t xml:space="preserve"> the SFI</w:t>
      </w:r>
      <w:r>
        <w:rPr>
          <w:i/>
          <w:szCs w:val="22"/>
          <w:lang w:eastAsia="sv-SE"/>
        </w:rPr>
        <w:t>.</w:t>
      </w:r>
    </w:p>
    <w:p w14:paraId="1DA47A0A" w14:textId="6079F327" w:rsidR="000E7C20" w:rsidRDefault="000E7C20" w:rsidP="000E7C20">
      <w:pPr>
        <w:spacing w:before="240"/>
        <w:rPr>
          <w:i/>
          <w:szCs w:val="22"/>
          <w:lang w:eastAsia="sv-SE"/>
        </w:rPr>
      </w:pPr>
      <w:r w:rsidRPr="000E7C20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2</w:t>
      </w:r>
      <w:r w:rsidRPr="000E7C20">
        <w:rPr>
          <w:b/>
          <w:i/>
          <w:szCs w:val="22"/>
          <w:u w:val="single"/>
          <w:lang w:eastAsia="sv-SE"/>
        </w:rPr>
        <w:t>:</w:t>
      </w:r>
      <w:r w:rsidRPr="000E7C20">
        <w:rPr>
          <w:b/>
          <w:i/>
          <w:szCs w:val="22"/>
          <w:lang w:eastAsia="sv-SE"/>
        </w:rPr>
        <w:t xml:space="preserve"> </w:t>
      </w:r>
      <w:r w:rsidRPr="000E7C20">
        <w:rPr>
          <w:i/>
          <w:szCs w:val="22"/>
          <w:lang w:eastAsia="sv-SE"/>
        </w:rPr>
        <w:t xml:space="preserve">The SFI content should be limited to symbol information </w:t>
      </w:r>
      <w:r w:rsidRPr="000E7C20">
        <w:rPr>
          <w:rFonts w:eastAsia="MS Mincho"/>
          <w:i/>
          <w:lang w:eastAsia="ja-JP"/>
        </w:rPr>
        <w:t>for one or more slots and some reserved bits</w:t>
      </w:r>
      <w:r w:rsidRPr="000E7C20">
        <w:rPr>
          <w:i/>
          <w:szCs w:val="22"/>
          <w:lang w:eastAsia="sv-SE"/>
        </w:rPr>
        <w:t xml:space="preserve"> for future compatibility.</w:t>
      </w:r>
    </w:p>
    <w:p w14:paraId="065FCF31" w14:textId="5F9F435E" w:rsidR="002966B0" w:rsidRPr="000E7C20" w:rsidRDefault="002966B0" w:rsidP="002966B0">
      <w:pPr>
        <w:spacing w:before="240"/>
        <w:rPr>
          <w:i/>
          <w:szCs w:val="22"/>
          <w:lang w:eastAsia="sv-SE"/>
        </w:rPr>
      </w:pPr>
      <w:r w:rsidRPr="000E7C20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0E7C20">
        <w:rPr>
          <w:b/>
          <w:i/>
          <w:szCs w:val="22"/>
          <w:u w:val="single"/>
          <w:lang w:eastAsia="sv-SE"/>
        </w:rPr>
        <w:t>:</w:t>
      </w:r>
      <w:r w:rsidRPr="000E7C20">
        <w:rPr>
          <w:b/>
          <w:i/>
          <w:szCs w:val="22"/>
          <w:lang w:eastAsia="sv-SE"/>
        </w:rPr>
        <w:t xml:space="preserve"> </w:t>
      </w:r>
      <w:r w:rsidRPr="002966B0">
        <w:rPr>
          <w:i/>
          <w:szCs w:val="22"/>
          <w:lang w:eastAsia="sv-SE"/>
        </w:rPr>
        <w:t xml:space="preserve">The slot format related information </w:t>
      </w:r>
      <w:r>
        <w:rPr>
          <w:i/>
          <w:szCs w:val="22"/>
          <w:lang w:eastAsia="sv-SE"/>
        </w:rPr>
        <w:t xml:space="preserve">in the SFI </w:t>
      </w:r>
      <w:r w:rsidRPr="002966B0">
        <w:rPr>
          <w:i/>
          <w:szCs w:val="22"/>
          <w:lang w:eastAsia="sv-SE"/>
        </w:rPr>
        <w:t>informs the UEs of the number of slots</w:t>
      </w:r>
      <w:r>
        <w:rPr>
          <w:i/>
          <w:szCs w:val="22"/>
          <w:lang w:eastAsia="sv-SE"/>
        </w:rPr>
        <w:t xml:space="preserve"> over which the slot format</w:t>
      </w:r>
      <w:r w:rsidRPr="002966B0">
        <w:rPr>
          <w:i/>
          <w:szCs w:val="22"/>
          <w:lang w:eastAsia="sv-SE"/>
        </w:rPr>
        <w:t xml:space="preserve"> related information</w:t>
      </w:r>
      <w:r w:rsidR="007372EE">
        <w:rPr>
          <w:i/>
          <w:szCs w:val="22"/>
          <w:lang w:eastAsia="sv-SE"/>
        </w:rPr>
        <w:t xml:space="preserve"> is valid.</w:t>
      </w:r>
    </w:p>
    <w:p w14:paraId="7A7E4D34" w14:textId="31CFB118" w:rsidR="00746CE2" w:rsidRPr="00564F9F" w:rsidRDefault="00746CE2" w:rsidP="003242DD">
      <w:pPr>
        <w:rPr>
          <w:sz w:val="20"/>
        </w:rPr>
      </w:pPr>
    </w:p>
    <w:p w14:paraId="13EBDB4F" w14:textId="7FDBB797" w:rsidR="003A13E3" w:rsidRPr="00C740A9" w:rsidRDefault="00251B4A" w:rsidP="003A13E3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1D0B18">
        <w:rPr>
          <w:rFonts w:ascii="Times New Roman" w:hAnsi="Times New Roman"/>
          <w:b/>
          <w:sz w:val="32"/>
          <w:lang w:val="en-US"/>
        </w:rPr>
        <w:t>References</w:t>
      </w:r>
      <w:r w:rsidR="003A13E3" w:rsidRPr="003A13E3">
        <w:rPr>
          <w:rFonts w:ascii="Times New Roman" w:hAnsi="Times New Roman"/>
          <w:b/>
          <w:sz w:val="32"/>
          <w:lang w:val="en-US"/>
        </w:rPr>
        <w:t xml:space="preserve"> </w:t>
      </w:r>
    </w:p>
    <w:p w14:paraId="5A4916DA" w14:textId="77777777" w:rsidR="003A13E3" w:rsidRDefault="003A13E3" w:rsidP="003A13E3">
      <w:pPr>
        <w:pStyle w:val="Reference"/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 w:rsidRPr="00AA3833">
        <w:t xml:space="preserve">RAN1 </w:t>
      </w:r>
      <w:r>
        <w:t>NR Ad-Hoc#2</w:t>
      </w:r>
      <w:r w:rsidRPr="00AC1F56">
        <w:rPr>
          <w:szCs w:val="22"/>
        </w:rPr>
        <w:t xml:space="preserve"> </w:t>
      </w:r>
      <w:r w:rsidRPr="00AA3833">
        <w:t>Chairman’s Notes</w:t>
      </w:r>
      <w:r>
        <w:t>, Qingdao, P.R. China, 27th – 30th June 2017</w:t>
      </w:r>
    </w:p>
    <w:p w14:paraId="03409F5F" w14:textId="12A2D5B4" w:rsidR="00C66A49" w:rsidRPr="003A13E3" w:rsidRDefault="003A13E3" w:rsidP="002B70E5">
      <w:pPr>
        <w:pStyle w:val="Reference"/>
        <w:rPr>
          <w:szCs w:val="22"/>
        </w:rPr>
      </w:pPr>
      <w:bookmarkStart w:id="7" w:name="_Ref489856619"/>
      <w:r w:rsidRPr="00AA3833">
        <w:t>RAN1</w:t>
      </w:r>
      <w:r>
        <w:t>#</w:t>
      </w:r>
      <w:r w:rsidRPr="003A13E3">
        <w:rPr>
          <w:szCs w:val="22"/>
        </w:rPr>
        <w:t xml:space="preserve">89 </w:t>
      </w:r>
      <w:r w:rsidRPr="00AA3833">
        <w:t>Chairman’s Note</w:t>
      </w:r>
      <w:bookmarkEnd w:id="2"/>
      <w:r w:rsidRPr="00AA3833">
        <w:t>s</w:t>
      </w:r>
      <w:bookmarkEnd w:id="3"/>
      <w:bookmarkEnd w:id="4"/>
      <w:bookmarkEnd w:id="5"/>
      <w:bookmarkEnd w:id="6"/>
      <w:r w:rsidRPr="00AA3833">
        <w:t xml:space="preserve">, </w:t>
      </w:r>
      <w:r w:rsidRPr="00C740A9">
        <w:t>Hangzhou, P.R. China 15th – 19th May 2017</w:t>
      </w:r>
      <w:bookmarkEnd w:id="7"/>
    </w:p>
    <w:sectPr w:rsidR="00C66A49" w:rsidRPr="003A13E3" w:rsidSect="00D550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1D9CE" w14:textId="77777777" w:rsidR="00E959E5" w:rsidRDefault="00E959E5">
      <w:r>
        <w:separator/>
      </w:r>
    </w:p>
  </w:endnote>
  <w:endnote w:type="continuationSeparator" w:id="0">
    <w:p w14:paraId="483D7A2A" w14:textId="77777777" w:rsidR="00E959E5" w:rsidRDefault="00E959E5">
      <w:r>
        <w:continuationSeparator/>
      </w:r>
    </w:p>
  </w:endnote>
  <w:endnote w:type="continuationNotice" w:id="1">
    <w:p w14:paraId="67924601" w14:textId="77777777" w:rsidR="00E959E5" w:rsidRDefault="00E959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98E" w14:textId="77777777" w:rsidR="004B090F" w:rsidRDefault="004B0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0DE266C2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09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090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001FF" w14:textId="77777777" w:rsidR="004B090F" w:rsidRDefault="004B0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7679C" w14:textId="77777777" w:rsidR="00E959E5" w:rsidRDefault="00E959E5">
      <w:r>
        <w:separator/>
      </w:r>
    </w:p>
  </w:footnote>
  <w:footnote w:type="continuationSeparator" w:id="0">
    <w:p w14:paraId="388CD680" w14:textId="77777777" w:rsidR="00E959E5" w:rsidRDefault="00E959E5">
      <w:r>
        <w:continuationSeparator/>
      </w:r>
    </w:p>
  </w:footnote>
  <w:footnote w:type="continuationNotice" w:id="1">
    <w:p w14:paraId="42BDDAEC" w14:textId="77777777" w:rsidR="00E959E5" w:rsidRDefault="00E959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94DB3" w14:textId="77777777" w:rsidR="004B090F" w:rsidRDefault="004B0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89C37" w14:textId="77777777" w:rsidR="004B090F" w:rsidRDefault="004B0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D6E6B"/>
    <w:multiLevelType w:val="hybridMultilevel"/>
    <w:tmpl w:val="7D60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97292"/>
    <w:multiLevelType w:val="hybridMultilevel"/>
    <w:tmpl w:val="5594A568"/>
    <w:lvl w:ilvl="0" w:tplc="0A165F0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D72E7896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99FABAC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A0664EC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0CBCF4B8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BACEFE74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5AE8F5F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AB043FF6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14882D3C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D60C9"/>
    <w:multiLevelType w:val="hybridMultilevel"/>
    <w:tmpl w:val="5E2AD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921150"/>
    <w:multiLevelType w:val="hybridMultilevel"/>
    <w:tmpl w:val="6888A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72434"/>
    <w:multiLevelType w:val="hybridMultilevel"/>
    <w:tmpl w:val="158AA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E572B8"/>
    <w:multiLevelType w:val="hybridMultilevel"/>
    <w:tmpl w:val="965A6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6D58FC"/>
    <w:multiLevelType w:val="hybridMultilevel"/>
    <w:tmpl w:val="E9DA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45217"/>
    <w:multiLevelType w:val="hybridMultilevel"/>
    <w:tmpl w:val="A280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8"/>
  </w:num>
  <w:num w:numId="11">
    <w:abstractNumId w:val="3"/>
  </w:num>
  <w:num w:numId="12">
    <w:abstractNumId w:val="19"/>
  </w:num>
  <w:num w:numId="13">
    <w:abstractNumId w:val="24"/>
  </w:num>
  <w:num w:numId="14">
    <w:abstractNumId w:val="5"/>
  </w:num>
  <w:num w:numId="15">
    <w:abstractNumId w:val="0"/>
  </w:num>
  <w:num w:numId="16">
    <w:abstractNumId w:val="10"/>
  </w:num>
  <w:num w:numId="17">
    <w:abstractNumId w:val="22"/>
  </w:num>
  <w:num w:numId="18">
    <w:abstractNumId w:val="14"/>
  </w:num>
  <w:num w:numId="19">
    <w:abstractNumId w:val="7"/>
  </w:num>
  <w:num w:numId="20">
    <w:abstractNumId w:val="1"/>
  </w:num>
  <w:num w:numId="21">
    <w:abstractNumId w:val="6"/>
  </w:num>
  <w:num w:numId="22">
    <w:abstractNumId w:val="25"/>
  </w:num>
  <w:num w:numId="23">
    <w:abstractNumId w:val="23"/>
  </w:num>
  <w:num w:numId="24">
    <w:abstractNumId w:val="29"/>
  </w:num>
  <w:num w:numId="25">
    <w:abstractNumId w:val="2"/>
  </w:num>
  <w:num w:numId="26">
    <w:abstractNumId w:val="26"/>
  </w:num>
  <w:num w:numId="27">
    <w:abstractNumId w:val="27"/>
  </w:num>
  <w:num w:numId="28">
    <w:abstractNumId w:val="17"/>
  </w:num>
  <w:num w:numId="29">
    <w:abstractNumId w:val="9"/>
  </w:num>
  <w:num w:numId="30">
    <w:abstractNumId w:val="4"/>
  </w:num>
  <w:num w:numId="3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0E43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029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ABE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882"/>
    <w:rsid w:val="000B0A01"/>
    <w:rsid w:val="000B1595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03F"/>
    <w:rsid w:val="000D51D9"/>
    <w:rsid w:val="000D57A7"/>
    <w:rsid w:val="000D5C17"/>
    <w:rsid w:val="000D6833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64C"/>
    <w:rsid w:val="000E5BBB"/>
    <w:rsid w:val="000E5EBB"/>
    <w:rsid w:val="000E66EF"/>
    <w:rsid w:val="000E6C65"/>
    <w:rsid w:val="000E6F04"/>
    <w:rsid w:val="000E700D"/>
    <w:rsid w:val="000E7644"/>
    <w:rsid w:val="000E78E3"/>
    <w:rsid w:val="000E7C20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FF"/>
    <w:rsid w:val="001005FF"/>
    <w:rsid w:val="00100770"/>
    <w:rsid w:val="0010105B"/>
    <w:rsid w:val="00101244"/>
    <w:rsid w:val="00101BCC"/>
    <w:rsid w:val="0010203E"/>
    <w:rsid w:val="0010241F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0E2"/>
    <w:rsid w:val="0011224B"/>
    <w:rsid w:val="00112DEF"/>
    <w:rsid w:val="00113CF4"/>
    <w:rsid w:val="00113D9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1E"/>
    <w:rsid w:val="001248FC"/>
    <w:rsid w:val="00125448"/>
    <w:rsid w:val="00125B92"/>
    <w:rsid w:val="00125D8C"/>
    <w:rsid w:val="00125FDB"/>
    <w:rsid w:val="00126305"/>
    <w:rsid w:val="00126B4A"/>
    <w:rsid w:val="00126C37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089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097"/>
    <w:rsid w:val="001C3D2A"/>
    <w:rsid w:val="001C3D34"/>
    <w:rsid w:val="001C6312"/>
    <w:rsid w:val="001C664F"/>
    <w:rsid w:val="001D0064"/>
    <w:rsid w:val="001D0B1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6C8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BD1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1A7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5E5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7D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6B0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EF"/>
    <w:rsid w:val="002D2E85"/>
    <w:rsid w:val="002D34B2"/>
    <w:rsid w:val="002D3CF3"/>
    <w:rsid w:val="002D4147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D11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9C7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506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35"/>
    <w:rsid w:val="00340CA8"/>
    <w:rsid w:val="0034106C"/>
    <w:rsid w:val="0034166C"/>
    <w:rsid w:val="003419A8"/>
    <w:rsid w:val="00342055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55A9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3E3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4BA2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FC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1A9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6D4"/>
    <w:rsid w:val="00411B1A"/>
    <w:rsid w:val="0041258E"/>
    <w:rsid w:val="0041263E"/>
    <w:rsid w:val="0041384A"/>
    <w:rsid w:val="004138FE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12F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2A"/>
    <w:rsid w:val="004661B2"/>
    <w:rsid w:val="004669E2"/>
    <w:rsid w:val="00466EE7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606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0F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B68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6F2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0F3D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3961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166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143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BC9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F9F"/>
    <w:rsid w:val="00564FBF"/>
    <w:rsid w:val="00565DED"/>
    <w:rsid w:val="00566557"/>
    <w:rsid w:val="005666FA"/>
    <w:rsid w:val="00566EC0"/>
    <w:rsid w:val="0056778C"/>
    <w:rsid w:val="00567A86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B00"/>
    <w:rsid w:val="00602EF6"/>
    <w:rsid w:val="00603A84"/>
    <w:rsid w:val="0060420A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7A9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88"/>
    <w:rsid w:val="00650AB9"/>
    <w:rsid w:val="00650EA2"/>
    <w:rsid w:val="0065127D"/>
    <w:rsid w:val="00652807"/>
    <w:rsid w:val="006528B6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280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78C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61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01E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8F6"/>
    <w:rsid w:val="00736AA2"/>
    <w:rsid w:val="00736D7D"/>
    <w:rsid w:val="007372EE"/>
    <w:rsid w:val="007374F9"/>
    <w:rsid w:val="00737564"/>
    <w:rsid w:val="00737985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A80"/>
    <w:rsid w:val="00760C05"/>
    <w:rsid w:val="007619D7"/>
    <w:rsid w:val="007623FB"/>
    <w:rsid w:val="00763B30"/>
    <w:rsid w:val="00764724"/>
    <w:rsid w:val="00764962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229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91B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3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DBD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5E4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87CC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696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4D9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2F2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0DCF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163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3C4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80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01E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F30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6EB9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088"/>
    <w:rsid w:val="009F70DE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3F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254"/>
    <w:rsid w:val="00A27785"/>
    <w:rsid w:val="00A30187"/>
    <w:rsid w:val="00A30C0E"/>
    <w:rsid w:val="00A319C8"/>
    <w:rsid w:val="00A33041"/>
    <w:rsid w:val="00A33696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DE7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F0D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15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0D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6BB"/>
    <w:rsid w:val="00B10EEB"/>
    <w:rsid w:val="00B11217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10C"/>
    <w:rsid w:val="00B36F25"/>
    <w:rsid w:val="00B36F3A"/>
    <w:rsid w:val="00B372AA"/>
    <w:rsid w:val="00B40445"/>
    <w:rsid w:val="00B407D2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18A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5E3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BF7E9D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5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B7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49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0EB2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C7F4D"/>
    <w:rsid w:val="00CD0B1E"/>
    <w:rsid w:val="00CD1188"/>
    <w:rsid w:val="00CD15BB"/>
    <w:rsid w:val="00CD2ED1"/>
    <w:rsid w:val="00CD337B"/>
    <w:rsid w:val="00CD4CD9"/>
    <w:rsid w:val="00CD63B2"/>
    <w:rsid w:val="00CD652C"/>
    <w:rsid w:val="00CD688B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A93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A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8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DA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07D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87F6B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B74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732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1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1BA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31D9"/>
    <w:rsid w:val="00E03573"/>
    <w:rsid w:val="00E04BB2"/>
    <w:rsid w:val="00E05500"/>
    <w:rsid w:val="00E060FC"/>
    <w:rsid w:val="00E07799"/>
    <w:rsid w:val="00E0794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99F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9E5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01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1D2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EE4"/>
    <w:rsid w:val="00EE0D13"/>
    <w:rsid w:val="00EE1F98"/>
    <w:rsid w:val="00EE280C"/>
    <w:rsid w:val="00EE28F5"/>
    <w:rsid w:val="00EE35AB"/>
    <w:rsid w:val="00EE6B5A"/>
    <w:rsid w:val="00EE7CE1"/>
    <w:rsid w:val="00EF00FF"/>
    <w:rsid w:val="00EF015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8FE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14F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7BC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951"/>
    <w:rsid w:val="00F81DA0"/>
    <w:rsid w:val="00F82D21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94B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AB3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8195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RAN</b:Tag>
    <b:SourceType>Report</b:SourceType>
    <b:Guid>{CA465F62-A04F-443D-BF51-14016219DCAF}</b:Guid>
    <b:Title>RAN1#86bis Chairman’s Notes</b:Title>
    <b:RefOrder>1</b:RefOrder>
  </b:Source>
</b:Sources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7C2C6E-3750-421D-8EAB-7581451E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2017-08-11T19:57:00Z</dcterms:created>
  <dcterms:modified xsi:type="dcterms:W3CDTF">2017-08-11T19:57:00Z</dcterms:modified>
  <cp:category/>
</cp:coreProperties>
</file>